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26FDE" w14:textId="05BA4BBA" w:rsidR="00414C75" w:rsidRPr="00415E21" w:rsidRDefault="00DD1846" w:rsidP="00414C75">
      <w:pPr>
        <w:jc w:val="center"/>
        <w:rPr>
          <w:rFonts w:ascii="Times New Roman" w:hAnsi="Times New Roman" w:cs="Times New Roman"/>
          <w:b/>
          <w:bCs/>
          <w:sz w:val="40"/>
          <w:szCs w:val="36"/>
        </w:rPr>
      </w:pPr>
      <w:r w:rsidRPr="00415E21">
        <w:rPr>
          <w:rFonts w:ascii="Times New Roman" w:hAnsi="Times New Roman" w:cs="Times New Roman"/>
          <w:b/>
          <w:bCs/>
          <w:sz w:val="40"/>
          <w:szCs w:val="36"/>
        </w:rPr>
        <w:t>Data Correction in the 202</w:t>
      </w:r>
      <w:r w:rsidRPr="00415E21">
        <w:rPr>
          <w:rFonts w:ascii="Times New Roman" w:hAnsi="Times New Roman" w:cs="Times New Roman" w:hint="eastAsia"/>
          <w:b/>
          <w:bCs/>
          <w:sz w:val="40"/>
          <w:szCs w:val="36"/>
        </w:rPr>
        <w:t>5</w:t>
      </w:r>
      <w:r w:rsidRPr="00415E21">
        <w:rPr>
          <w:rFonts w:ascii="Times New Roman" w:hAnsi="Times New Roman" w:cs="Times New Roman"/>
          <w:b/>
          <w:bCs/>
          <w:sz w:val="40"/>
          <w:szCs w:val="36"/>
        </w:rPr>
        <w:t xml:space="preserve"> Edition</w:t>
      </w:r>
    </w:p>
    <w:p w14:paraId="7DA3781F" w14:textId="77777777" w:rsidR="00414C75" w:rsidRPr="00415E21" w:rsidRDefault="00414C75" w:rsidP="00DD1846">
      <w:pPr>
        <w:rPr>
          <w:rFonts w:ascii="Times New Roman" w:hAnsi="Times New Roman" w:cs="Times New Roman"/>
          <w:sz w:val="28"/>
          <w:szCs w:val="24"/>
        </w:rPr>
      </w:pPr>
    </w:p>
    <w:p w14:paraId="445AFCF3" w14:textId="4EC545F4" w:rsidR="00590AD2" w:rsidRPr="00415E21" w:rsidRDefault="00DD1846" w:rsidP="009451CC">
      <w:pPr>
        <w:rPr>
          <w:rFonts w:ascii="Times New Roman" w:hAnsi="Times New Roman" w:cs="Times New Roman"/>
          <w:sz w:val="28"/>
          <w:szCs w:val="24"/>
        </w:rPr>
      </w:pPr>
      <w:r w:rsidRPr="00415E21">
        <w:rPr>
          <w:rFonts w:ascii="Times New Roman" w:hAnsi="Times New Roman" w:cs="Times New Roman"/>
          <w:sz w:val="28"/>
          <w:szCs w:val="24"/>
        </w:rPr>
        <w:t>To improve energy statistics methodology and accommodate revisions in historical data reported by energy suppliers and users, relevant statistical data have been revised as follows:</w:t>
      </w:r>
    </w:p>
    <w:p w14:paraId="037F1EB8" w14:textId="77777777" w:rsidR="00590AD2" w:rsidRPr="00415E21" w:rsidRDefault="00590AD2" w:rsidP="00DD1846">
      <w:pPr>
        <w:rPr>
          <w:rFonts w:ascii="Times New Roman" w:hAnsi="Times New Roman" w:cs="Times New Roman"/>
          <w:sz w:val="28"/>
          <w:szCs w:val="24"/>
        </w:rPr>
      </w:pPr>
    </w:p>
    <w:p w14:paraId="60A6111B" w14:textId="3ECA2FEB" w:rsidR="00DD1846" w:rsidRPr="00415E21" w:rsidRDefault="00DD1846" w:rsidP="00DD1846">
      <w:pPr>
        <w:rPr>
          <w:rFonts w:ascii="Times New Roman" w:hAnsi="Times New Roman" w:cs="Times New Roman"/>
          <w:b/>
          <w:bCs/>
          <w:sz w:val="28"/>
          <w:szCs w:val="24"/>
        </w:rPr>
      </w:pPr>
      <w:r w:rsidRPr="00415E21">
        <w:rPr>
          <w:rFonts w:ascii="Times New Roman" w:hAnsi="Times New Roman" w:cs="Times New Roman"/>
          <w:b/>
          <w:bCs/>
          <w:sz w:val="28"/>
          <w:szCs w:val="24"/>
        </w:rPr>
        <w:t>Adjustments to Energy Supply and Demand Data</w:t>
      </w:r>
    </w:p>
    <w:p w14:paraId="5DEB2740" w14:textId="4D61D918" w:rsidR="00DD1846" w:rsidRPr="00415E21" w:rsidRDefault="00DD1846" w:rsidP="00590AD2">
      <w:pPr>
        <w:pStyle w:val="a9"/>
        <w:numPr>
          <w:ilvl w:val="0"/>
          <w:numId w:val="1"/>
        </w:numPr>
        <w:rPr>
          <w:rFonts w:ascii="Times New Roman" w:hAnsi="Times New Roman" w:cs="Times New Roman"/>
          <w:sz w:val="28"/>
          <w:szCs w:val="24"/>
        </w:rPr>
      </w:pPr>
      <w:r w:rsidRPr="00415E21">
        <w:rPr>
          <w:rFonts w:ascii="Times New Roman" w:hAnsi="Times New Roman" w:cs="Times New Roman"/>
          <w:b/>
          <w:bCs/>
          <w:sz w:val="28"/>
          <w:szCs w:val="24"/>
        </w:rPr>
        <w:t>Coal:</w:t>
      </w:r>
      <w:r w:rsidRPr="00415E21">
        <w:rPr>
          <w:rFonts w:ascii="Times New Roman" w:hAnsi="Times New Roman" w:cs="Times New Roman"/>
          <w:sz w:val="28"/>
          <w:szCs w:val="24"/>
        </w:rPr>
        <w:t xml:space="preserve"> </w:t>
      </w:r>
      <w:r w:rsidR="004C4032" w:rsidRPr="00415E21">
        <w:rPr>
          <w:rFonts w:ascii="Times New Roman" w:hAnsi="Times New Roman" w:cs="Times New Roman"/>
          <w:sz w:val="28"/>
          <w:szCs w:val="24"/>
        </w:rPr>
        <w:t>In coordination with revised reports submitted by coal users, adjustments have been made to the import, consumption, stock, and electricity generation input data of coal and coal products for certain months in 2022, 2024, and 2025.</w:t>
      </w:r>
      <w:r w:rsidRPr="00415E21">
        <w:rPr>
          <w:rFonts w:ascii="Times New Roman" w:hAnsi="Times New Roman" w:cs="Times New Roman"/>
          <w:sz w:val="28"/>
          <w:szCs w:val="24"/>
        </w:rPr>
        <w:t xml:space="preserve"> </w:t>
      </w:r>
    </w:p>
    <w:p w14:paraId="214DB86A" w14:textId="77777777" w:rsidR="00DD1846" w:rsidRPr="00415E21" w:rsidRDefault="00DD1846" w:rsidP="00DD1846">
      <w:pPr>
        <w:numPr>
          <w:ilvl w:val="0"/>
          <w:numId w:val="1"/>
        </w:numPr>
        <w:rPr>
          <w:rFonts w:ascii="Times New Roman" w:hAnsi="Times New Roman" w:cs="Times New Roman"/>
          <w:sz w:val="28"/>
          <w:szCs w:val="24"/>
        </w:rPr>
      </w:pPr>
      <w:r w:rsidRPr="00415E21">
        <w:rPr>
          <w:rFonts w:ascii="Times New Roman" w:hAnsi="Times New Roman" w:cs="Times New Roman"/>
          <w:b/>
          <w:bCs/>
          <w:sz w:val="28"/>
          <w:szCs w:val="24"/>
        </w:rPr>
        <w:t>Oil:</w:t>
      </w:r>
      <w:r w:rsidRPr="00415E21">
        <w:rPr>
          <w:rFonts w:ascii="Times New Roman" w:hAnsi="Times New Roman" w:cs="Times New Roman"/>
          <w:sz w:val="28"/>
          <w:szCs w:val="24"/>
        </w:rPr>
        <w:t xml:space="preserve"> </w:t>
      </w:r>
    </w:p>
    <w:p w14:paraId="0DB3AD1E" w14:textId="77777777" w:rsidR="004C4032" w:rsidRPr="00415E21" w:rsidRDefault="004C4032" w:rsidP="00DD1846">
      <w:pPr>
        <w:numPr>
          <w:ilvl w:val="1"/>
          <w:numId w:val="1"/>
        </w:numPr>
        <w:rPr>
          <w:rFonts w:ascii="Times New Roman" w:hAnsi="Times New Roman" w:cs="Times New Roman"/>
          <w:sz w:val="28"/>
          <w:szCs w:val="24"/>
        </w:rPr>
      </w:pPr>
      <w:r w:rsidRPr="00415E21">
        <w:rPr>
          <w:rFonts w:ascii="Times New Roman" w:hAnsi="Times New Roman" w:cs="Times New Roman"/>
          <w:sz w:val="28"/>
          <w:szCs w:val="24"/>
        </w:rPr>
        <w:t>In coordination with revised reports submitted by oil companies, adjustments have been made to the transformation output and energy sector own-use of refinery gas for certain months in 2025, as well as the consumption of LPG by industry from 2018 to 2024.</w:t>
      </w:r>
    </w:p>
    <w:p w14:paraId="0422709B" w14:textId="13C76A88" w:rsidR="00DD1846" w:rsidRPr="00415E21" w:rsidRDefault="00DD1846" w:rsidP="00DD1846">
      <w:pPr>
        <w:numPr>
          <w:ilvl w:val="1"/>
          <w:numId w:val="1"/>
        </w:numPr>
        <w:rPr>
          <w:rFonts w:ascii="Times New Roman" w:hAnsi="Times New Roman" w:cs="Times New Roman"/>
          <w:sz w:val="28"/>
          <w:szCs w:val="24"/>
        </w:rPr>
      </w:pPr>
      <w:r w:rsidRPr="00415E21">
        <w:rPr>
          <w:rFonts w:ascii="Times New Roman" w:hAnsi="Times New Roman" w:cs="Times New Roman"/>
          <w:sz w:val="28"/>
          <w:szCs w:val="24"/>
        </w:rPr>
        <w:t>In coordination with revised data from renewable oil producers, adjustments have been made to the indigenous production and transformation input of "refinery feedstock</w:t>
      </w:r>
      <w:r w:rsidR="005F684D" w:rsidRPr="00415E21">
        <w:rPr>
          <w:rFonts w:ascii="Times New Roman" w:hAnsi="Times New Roman" w:cs="Times New Roman" w:hint="eastAsia"/>
          <w:sz w:val="28"/>
          <w:szCs w:val="24"/>
        </w:rPr>
        <w:t>s</w:t>
      </w:r>
      <w:r w:rsidRPr="00415E21">
        <w:rPr>
          <w:rFonts w:ascii="Times New Roman" w:hAnsi="Times New Roman" w:cs="Times New Roman"/>
          <w:sz w:val="28"/>
          <w:szCs w:val="24"/>
        </w:rPr>
        <w:t xml:space="preserve">," the transformation output of "fuel oil," and sales data by industry for the energy and industrial sectors for 2024 and 2025. </w:t>
      </w:r>
    </w:p>
    <w:p w14:paraId="3846ACB2" w14:textId="580C91DF" w:rsidR="00DD1846" w:rsidRPr="00415E21" w:rsidRDefault="00DD1846" w:rsidP="00DD1846">
      <w:pPr>
        <w:numPr>
          <w:ilvl w:val="0"/>
          <w:numId w:val="1"/>
        </w:numPr>
        <w:rPr>
          <w:rFonts w:ascii="Times New Roman" w:hAnsi="Times New Roman" w:cs="Times New Roman"/>
          <w:sz w:val="28"/>
          <w:szCs w:val="24"/>
        </w:rPr>
      </w:pPr>
      <w:r w:rsidRPr="00415E21">
        <w:rPr>
          <w:rFonts w:ascii="Times New Roman" w:hAnsi="Times New Roman" w:cs="Times New Roman"/>
          <w:b/>
          <w:bCs/>
          <w:sz w:val="28"/>
          <w:szCs w:val="24"/>
        </w:rPr>
        <w:t>Natural Gas:</w:t>
      </w:r>
      <w:r w:rsidRPr="00415E21">
        <w:rPr>
          <w:rFonts w:ascii="Times New Roman" w:hAnsi="Times New Roman" w:cs="Times New Roman"/>
          <w:sz w:val="28"/>
          <w:szCs w:val="24"/>
        </w:rPr>
        <w:t xml:space="preserve"> </w:t>
      </w:r>
      <w:r w:rsidR="00274046" w:rsidRPr="00415E21">
        <w:rPr>
          <w:rFonts w:ascii="Times New Roman" w:hAnsi="Times New Roman" w:cs="Times New Roman"/>
          <w:sz w:val="28"/>
          <w:szCs w:val="24"/>
        </w:rPr>
        <w:t>In coordination with revised reports submitted by natural gas companies, adjustments have been made to the allocation of sales to certain industries within the industrial sector from 2018 onwards, as well as to sales data by industry from 2022 to present.</w:t>
      </w:r>
      <w:r w:rsidRPr="00415E21">
        <w:rPr>
          <w:rFonts w:ascii="Times New Roman" w:hAnsi="Times New Roman" w:cs="Times New Roman"/>
          <w:sz w:val="28"/>
          <w:szCs w:val="24"/>
        </w:rPr>
        <w:t xml:space="preserve"> </w:t>
      </w:r>
    </w:p>
    <w:p w14:paraId="0A5BFFF6" w14:textId="77777777" w:rsidR="00DD1846" w:rsidRPr="00415E21" w:rsidRDefault="00DD1846" w:rsidP="00DD1846">
      <w:pPr>
        <w:numPr>
          <w:ilvl w:val="0"/>
          <w:numId w:val="1"/>
        </w:numPr>
        <w:rPr>
          <w:rFonts w:ascii="Times New Roman" w:hAnsi="Times New Roman" w:cs="Times New Roman"/>
          <w:sz w:val="28"/>
          <w:szCs w:val="24"/>
        </w:rPr>
      </w:pPr>
      <w:r w:rsidRPr="00415E21">
        <w:rPr>
          <w:rFonts w:ascii="Times New Roman" w:hAnsi="Times New Roman" w:cs="Times New Roman"/>
          <w:b/>
          <w:bCs/>
          <w:sz w:val="28"/>
          <w:szCs w:val="24"/>
        </w:rPr>
        <w:t>Electricity:</w:t>
      </w:r>
      <w:r w:rsidRPr="00415E21">
        <w:rPr>
          <w:rFonts w:ascii="Times New Roman" w:hAnsi="Times New Roman" w:cs="Times New Roman"/>
          <w:sz w:val="28"/>
          <w:szCs w:val="24"/>
        </w:rPr>
        <w:t xml:space="preserve"> </w:t>
      </w:r>
    </w:p>
    <w:p w14:paraId="067724F0" w14:textId="06593956" w:rsidR="00DD1846" w:rsidRPr="00415E21" w:rsidRDefault="00F13156" w:rsidP="00DD1846">
      <w:pPr>
        <w:numPr>
          <w:ilvl w:val="1"/>
          <w:numId w:val="1"/>
        </w:numPr>
        <w:rPr>
          <w:rFonts w:ascii="Times New Roman" w:hAnsi="Times New Roman" w:cs="Times New Roman"/>
          <w:sz w:val="28"/>
          <w:szCs w:val="24"/>
        </w:rPr>
      </w:pPr>
      <w:r w:rsidRPr="00F13156">
        <w:rPr>
          <w:rFonts w:ascii="Times New Roman" w:hAnsi="Times New Roman" w:cs="Times New Roman"/>
          <w:sz w:val="28"/>
          <w:szCs w:val="24"/>
        </w:rPr>
        <w:t>In coordination with revised reports submitted by electricity enterprises (including electricity generation enterprises, electricity transmission and distribution enterprises, and electricity retailing enterprises), adjustments have been made to the electricity supply and demand statistics for each month from January 2018 onwards.</w:t>
      </w:r>
      <w:r w:rsidR="00DD1846" w:rsidRPr="00415E21">
        <w:rPr>
          <w:rFonts w:ascii="Times New Roman" w:hAnsi="Times New Roman" w:cs="Times New Roman"/>
          <w:sz w:val="28"/>
          <w:szCs w:val="24"/>
        </w:rPr>
        <w:t xml:space="preserve"> </w:t>
      </w:r>
    </w:p>
    <w:p w14:paraId="62BE3133" w14:textId="77777777" w:rsidR="00F71E75" w:rsidRPr="00415E21" w:rsidRDefault="005D34E1" w:rsidP="00F71E75">
      <w:pPr>
        <w:numPr>
          <w:ilvl w:val="1"/>
          <w:numId w:val="1"/>
        </w:numPr>
        <w:rPr>
          <w:rFonts w:ascii="Times New Roman" w:hAnsi="Times New Roman" w:cs="Times New Roman"/>
          <w:sz w:val="28"/>
          <w:szCs w:val="24"/>
        </w:rPr>
      </w:pPr>
      <w:r w:rsidRPr="00415E21">
        <w:rPr>
          <w:rFonts w:ascii="Times New Roman" w:hAnsi="Times New Roman" w:cs="Times New Roman"/>
          <w:sz w:val="28"/>
          <w:szCs w:val="24"/>
        </w:rPr>
        <w:t>Based on data provided by the public electricity retail</w:t>
      </w:r>
      <w:r w:rsidR="005E3313" w:rsidRPr="00415E21">
        <w:rPr>
          <w:rFonts w:ascii="Times New Roman" w:hAnsi="Times New Roman" w:cs="Times New Roman" w:hint="eastAsia"/>
          <w:sz w:val="28"/>
          <w:szCs w:val="24"/>
        </w:rPr>
        <w:t>ing</w:t>
      </w:r>
      <w:r w:rsidRPr="00415E21">
        <w:rPr>
          <w:rFonts w:ascii="Times New Roman" w:hAnsi="Times New Roman" w:cs="Times New Roman"/>
          <w:sz w:val="28"/>
          <w:szCs w:val="24"/>
        </w:rPr>
        <w:t xml:space="preserve"> enterprise</w:t>
      </w:r>
      <w:r w:rsidR="00274046" w:rsidRPr="00415E21">
        <w:rPr>
          <w:rFonts w:ascii="Times New Roman" w:hAnsi="Times New Roman" w:cs="Times New Roman" w:hint="eastAsia"/>
          <w:sz w:val="28"/>
          <w:szCs w:val="24"/>
        </w:rPr>
        <w:t>s</w:t>
      </w:r>
      <w:r w:rsidRPr="00415E21">
        <w:rPr>
          <w:rFonts w:ascii="Times New Roman" w:hAnsi="Times New Roman" w:cs="Times New Roman"/>
          <w:sz w:val="28"/>
          <w:szCs w:val="24"/>
        </w:rPr>
        <w:t xml:space="preserve"> regarding electricity purchases from </w:t>
      </w:r>
      <w:r w:rsidR="005E3313" w:rsidRPr="00415E21">
        <w:rPr>
          <w:rFonts w:ascii="Times New Roman" w:hAnsi="Times New Roman" w:cs="Times New Roman"/>
          <w:sz w:val="28"/>
          <w:szCs w:val="24"/>
        </w:rPr>
        <w:t xml:space="preserve">self-use </w:t>
      </w:r>
      <w:r w:rsidR="005E3313" w:rsidRPr="00415E21">
        <w:rPr>
          <w:rFonts w:ascii="Times New Roman" w:hAnsi="Times New Roman" w:cs="Times New Roman"/>
          <w:sz w:val="28"/>
          <w:szCs w:val="24"/>
        </w:rPr>
        <w:lastRenderedPageBreak/>
        <w:t>power-generation equipment</w:t>
      </w:r>
      <w:r w:rsidRPr="00415E21">
        <w:rPr>
          <w:rFonts w:ascii="Times New Roman" w:hAnsi="Times New Roman" w:cs="Times New Roman"/>
          <w:sz w:val="28"/>
          <w:szCs w:val="24"/>
        </w:rPr>
        <w:t xml:space="preserve">, adjustments have been made to the 2025 </w:t>
      </w:r>
      <w:r w:rsidR="00274046" w:rsidRPr="00415E21">
        <w:rPr>
          <w:rFonts w:ascii="Times New Roman" w:hAnsi="Times New Roman" w:cs="Times New Roman" w:hint="eastAsia"/>
          <w:sz w:val="28"/>
          <w:szCs w:val="24"/>
        </w:rPr>
        <w:t>biogas</w:t>
      </w:r>
      <w:r w:rsidRPr="00415E21">
        <w:rPr>
          <w:rFonts w:ascii="Times New Roman" w:hAnsi="Times New Roman" w:cs="Times New Roman"/>
          <w:sz w:val="28"/>
          <w:szCs w:val="24"/>
        </w:rPr>
        <w:t xml:space="preserve"> statistics.</w:t>
      </w:r>
      <w:r w:rsidR="00DD1846" w:rsidRPr="00415E21">
        <w:rPr>
          <w:rFonts w:ascii="Times New Roman" w:hAnsi="Times New Roman" w:cs="Times New Roman"/>
          <w:sz w:val="28"/>
          <w:szCs w:val="24"/>
        </w:rPr>
        <w:t xml:space="preserve"> </w:t>
      </w:r>
    </w:p>
    <w:p w14:paraId="050FB4F9" w14:textId="4E40DF3C" w:rsidR="00CA432C" w:rsidRPr="0017176F" w:rsidRDefault="00CA432C" w:rsidP="00CA432C">
      <w:pPr>
        <w:numPr>
          <w:ilvl w:val="1"/>
          <w:numId w:val="1"/>
        </w:numPr>
        <w:rPr>
          <w:rFonts w:ascii="Times New Roman" w:hAnsi="Times New Roman" w:cs="Times New Roman"/>
          <w:sz w:val="28"/>
          <w:szCs w:val="24"/>
        </w:rPr>
      </w:pPr>
      <w:r w:rsidRPr="0017176F">
        <w:rPr>
          <w:rFonts w:ascii="Times New Roman" w:hAnsi="Times New Roman" w:cs="Times New Roman"/>
          <w:sz w:val="28"/>
          <w:szCs w:val="24"/>
        </w:rPr>
        <w:t xml:space="preserve">In coordination with revised data </w:t>
      </w:r>
      <w:r w:rsidR="00284A82">
        <w:rPr>
          <w:rFonts w:ascii="Times New Roman" w:hAnsi="Times New Roman" w:cs="Times New Roman" w:hint="eastAsia"/>
          <w:sz w:val="28"/>
          <w:szCs w:val="24"/>
        </w:rPr>
        <w:t>submitted by</w:t>
      </w:r>
      <w:r w:rsidRPr="0017176F">
        <w:rPr>
          <w:rFonts w:ascii="Times New Roman" w:hAnsi="Times New Roman" w:cs="Times New Roman"/>
          <w:sz w:val="28"/>
          <w:szCs w:val="24"/>
        </w:rPr>
        <w:t xml:space="preserve"> operators of self-use power-generation equipment on fuel consumption, electricity generation, and process steam production, adjustments have been made to energy consumption, transformation input, and electricity and heat supply and demand from January 2023 onwards. </w:t>
      </w:r>
    </w:p>
    <w:p w14:paraId="72F3762C" w14:textId="77777777" w:rsidR="00F71E75" w:rsidRPr="00CA432C" w:rsidRDefault="00F71E75" w:rsidP="00F71E75">
      <w:pPr>
        <w:rPr>
          <w:rFonts w:ascii="Times New Roman" w:hAnsi="Times New Roman" w:cs="Times New Roman"/>
          <w:sz w:val="28"/>
          <w:szCs w:val="24"/>
        </w:rPr>
      </w:pPr>
    </w:p>
    <w:p w14:paraId="4BC6069B" w14:textId="50E850A8" w:rsidR="00DD1846" w:rsidRPr="00415E21" w:rsidRDefault="00590AD2">
      <w:pPr>
        <w:rPr>
          <w:rFonts w:ascii="Times New Roman" w:hAnsi="Times New Roman" w:cs="Times New Roman"/>
          <w:sz w:val="28"/>
          <w:szCs w:val="24"/>
        </w:rPr>
      </w:pPr>
      <w:r w:rsidRPr="00415E21">
        <w:rPr>
          <w:rFonts w:ascii="Times New Roman" w:hAnsi="Times New Roman" w:cs="Times New Roman"/>
          <w:sz w:val="28"/>
          <w:szCs w:val="24"/>
        </w:rPr>
        <w:t xml:space="preserve">Based on the previous year's data from energy suppliers, corrections are typically completed by the end of May of the current year. Therefore, the 2025 data currently published in this monthly report are </w:t>
      </w:r>
      <w:r w:rsidRPr="00415E21">
        <w:rPr>
          <w:rFonts w:ascii="Times New Roman" w:hAnsi="Times New Roman" w:cs="Times New Roman"/>
          <w:b/>
          <w:bCs/>
          <w:sz w:val="28"/>
          <w:szCs w:val="24"/>
        </w:rPr>
        <w:t>preliminary estimates</w:t>
      </w:r>
      <w:r w:rsidRPr="00415E21">
        <w:rPr>
          <w:rFonts w:ascii="Times New Roman" w:hAnsi="Times New Roman" w:cs="Times New Roman"/>
          <w:sz w:val="28"/>
          <w:szCs w:val="24"/>
        </w:rPr>
        <w:t xml:space="preserve">. Finalized results will be officially released in the </w:t>
      </w:r>
      <w:r w:rsidRPr="00415E21">
        <w:rPr>
          <w:rFonts w:ascii="Times New Roman" w:hAnsi="Times New Roman" w:cs="Times New Roman"/>
          <w:b/>
          <w:bCs/>
          <w:sz w:val="28"/>
          <w:szCs w:val="24"/>
        </w:rPr>
        <w:t>May 2026 edition</w:t>
      </w:r>
      <w:r w:rsidRPr="00415E21">
        <w:rPr>
          <w:rFonts w:ascii="Times New Roman" w:hAnsi="Times New Roman" w:cs="Times New Roman"/>
          <w:sz w:val="28"/>
          <w:szCs w:val="24"/>
        </w:rPr>
        <w:t>.</w:t>
      </w:r>
    </w:p>
    <w:sectPr w:rsidR="00DD1846" w:rsidRPr="00415E2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FC74" w14:textId="77777777" w:rsidR="00A007DC" w:rsidRDefault="00A007DC" w:rsidP="00771571">
      <w:r>
        <w:separator/>
      </w:r>
    </w:p>
  </w:endnote>
  <w:endnote w:type="continuationSeparator" w:id="0">
    <w:p w14:paraId="542B8F53" w14:textId="77777777" w:rsidR="00A007DC" w:rsidRDefault="00A007DC" w:rsidP="0077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270CC" w14:textId="77777777" w:rsidR="00A007DC" w:rsidRDefault="00A007DC" w:rsidP="00771571">
      <w:r>
        <w:separator/>
      </w:r>
    </w:p>
  </w:footnote>
  <w:footnote w:type="continuationSeparator" w:id="0">
    <w:p w14:paraId="3BD18B69" w14:textId="77777777" w:rsidR="00A007DC" w:rsidRDefault="00A007DC" w:rsidP="00771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84225"/>
    <w:multiLevelType w:val="multilevel"/>
    <w:tmpl w:val="B1A462E4"/>
    <w:lvl w:ilvl="0">
      <w:start w:val="1"/>
      <w:numFmt w:val="decimal"/>
      <w:lvlText w:val="(%1)"/>
      <w:lvlJc w:val="left"/>
      <w:pPr>
        <w:tabs>
          <w:tab w:val="num" w:pos="720"/>
        </w:tabs>
        <w:ind w:left="720" w:hanging="360"/>
      </w:pPr>
      <w:rPr>
        <w:rFonts w:ascii="Times New Roman" w:eastAsiaTheme="minorEastAsia" w:hAnsi="Times New Roman" w:cs="Times New Roman"/>
        <w:sz w:val="28"/>
        <w:szCs w:val="36"/>
      </w:rPr>
    </w:lvl>
    <w:lvl w:ilvl="1">
      <w:start w:val="1"/>
      <w:numFmt w:val="lowerRoman"/>
      <w:lvlText w:val="%2."/>
      <w:lvlJc w:val="left"/>
      <w:pPr>
        <w:tabs>
          <w:tab w:val="num" w:pos="1440"/>
        </w:tabs>
        <w:ind w:left="1440" w:hanging="360"/>
      </w:pPr>
      <w:rPr>
        <w:rFonts w:ascii="Times New Roman" w:eastAsiaTheme="minorEastAsia" w:hAnsi="Times New Roman" w:cs="Times New Roman"/>
        <w:sz w:val="28"/>
        <w:szCs w:val="36"/>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7981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oNotDisplayPageBoundaries/>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846"/>
    <w:rsid w:val="00061D1F"/>
    <w:rsid w:val="0017176F"/>
    <w:rsid w:val="001D5953"/>
    <w:rsid w:val="00274046"/>
    <w:rsid w:val="00284A82"/>
    <w:rsid w:val="0039150C"/>
    <w:rsid w:val="00414C75"/>
    <w:rsid w:val="00415E21"/>
    <w:rsid w:val="00443D14"/>
    <w:rsid w:val="004C4032"/>
    <w:rsid w:val="00533E38"/>
    <w:rsid w:val="005416EA"/>
    <w:rsid w:val="00560238"/>
    <w:rsid w:val="00590AD2"/>
    <w:rsid w:val="005D34E1"/>
    <w:rsid w:val="005E1017"/>
    <w:rsid w:val="005E3313"/>
    <w:rsid w:val="005F684D"/>
    <w:rsid w:val="006213EF"/>
    <w:rsid w:val="00771571"/>
    <w:rsid w:val="007F785E"/>
    <w:rsid w:val="00886AC5"/>
    <w:rsid w:val="00894778"/>
    <w:rsid w:val="009451CC"/>
    <w:rsid w:val="00945898"/>
    <w:rsid w:val="0097170F"/>
    <w:rsid w:val="009C7612"/>
    <w:rsid w:val="00A007DC"/>
    <w:rsid w:val="00A4507C"/>
    <w:rsid w:val="00B41426"/>
    <w:rsid w:val="00BB0E2C"/>
    <w:rsid w:val="00BE2A68"/>
    <w:rsid w:val="00CA432C"/>
    <w:rsid w:val="00D24678"/>
    <w:rsid w:val="00D26D6C"/>
    <w:rsid w:val="00D77E7C"/>
    <w:rsid w:val="00DD1846"/>
    <w:rsid w:val="00DE6068"/>
    <w:rsid w:val="00E92BD8"/>
    <w:rsid w:val="00F033E5"/>
    <w:rsid w:val="00F13156"/>
    <w:rsid w:val="00F57D39"/>
    <w:rsid w:val="00F63545"/>
    <w:rsid w:val="00F71E75"/>
    <w:rsid w:val="00FE25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9FD43"/>
  <w15:chartTrackingRefBased/>
  <w15:docId w15:val="{8D6F93F4-033C-4FE0-9D53-B2AF3376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D184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D184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D1846"/>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DD1846"/>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DD184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D1846"/>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DD184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D184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D184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NR">
    <w:name w:val="標楷+TNR"/>
    <w:basedOn w:val="a"/>
    <w:link w:val="TNR0"/>
    <w:qFormat/>
    <w:rsid w:val="00BE2A68"/>
    <w:rPr>
      <w:rFonts w:ascii="Times New Roman" w:eastAsia="標楷體" w:hAnsi="Times New Roman"/>
    </w:rPr>
  </w:style>
  <w:style w:type="character" w:customStyle="1" w:styleId="TNR0">
    <w:name w:val="標楷+TNR 字元"/>
    <w:basedOn w:val="a0"/>
    <w:link w:val="TNR"/>
    <w:rsid w:val="00BE2A68"/>
    <w:rPr>
      <w:rFonts w:ascii="Times New Roman" w:eastAsia="標楷體" w:hAnsi="Times New Roman"/>
    </w:rPr>
  </w:style>
  <w:style w:type="character" w:customStyle="1" w:styleId="10">
    <w:name w:val="標題 1 字元"/>
    <w:basedOn w:val="a0"/>
    <w:link w:val="1"/>
    <w:uiPriority w:val="9"/>
    <w:rsid w:val="00DD1846"/>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DD1846"/>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DD1846"/>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DD1846"/>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DD1846"/>
    <w:rPr>
      <w:rFonts w:eastAsiaTheme="majorEastAsia" w:cstheme="majorBidi"/>
      <w:color w:val="2F5496" w:themeColor="accent1" w:themeShade="BF"/>
    </w:rPr>
  </w:style>
  <w:style w:type="character" w:customStyle="1" w:styleId="60">
    <w:name w:val="標題 6 字元"/>
    <w:basedOn w:val="a0"/>
    <w:link w:val="6"/>
    <w:uiPriority w:val="9"/>
    <w:semiHidden/>
    <w:rsid w:val="00DD1846"/>
    <w:rPr>
      <w:rFonts w:eastAsiaTheme="majorEastAsia" w:cstheme="majorBidi"/>
      <w:color w:val="595959" w:themeColor="text1" w:themeTint="A6"/>
    </w:rPr>
  </w:style>
  <w:style w:type="character" w:customStyle="1" w:styleId="70">
    <w:name w:val="標題 7 字元"/>
    <w:basedOn w:val="a0"/>
    <w:link w:val="7"/>
    <w:uiPriority w:val="9"/>
    <w:semiHidden/>
    <w:rsid w:val="00DD1846"/>
    <w:rPr>
      <w:rFonts w:eastAsiaTheme="majorEastAsia" w:cstheme="majorBidi"/>
      <w:color w:val="595959" w:themeColor="text1" w:themeTint="A6"/>
    </w:rPr>
  </w:style>
  <w:style w:type="character" w:customStyle="1" w:styleId="80">
    <w:name w:val="標題 8 字元"/>
    <w:basedOn w:val="a0"/>
    <w:link w:val="8"/>
    <w:uiPriority w:val="9"/>
    <w:semiHidden/>
    <w:rsid w:val="00DD1846"/>
    <w:rPr>
      <w:rFonts w:eastAsiaTheme="majorEastAsia" w:cstheme="majorBidi"/>
      <w:color w:val="272727" w:themeColor="text1" w:themeTint="D8"/>
    </w:rPr>
  </w:style>
  <w:style w:type="character" w:customStyle="1" w:styleId="90">
    <w:name w:val="標題 9 字元"/>
    <w:basedOn w:val="a0"/>
    <w:link w:val="9"/>
    <w:uiPriority w:val="9"/>
    <w:semiHidden/>
    <w:rsid w:val="00DD1846"/>
    <w:rPr>
      <w:rFonts w:eastAsiaTheme="majorEastAsia" w:cstheme="majorBidi"/>
      <w:color w:val="272727" w:themeColor="text1" w:themeTint="D8"/>
    </w:rPr>
  </w:style>
  <w:style w:type="paragraph" w:styleId="a3">
    <w:name w:val="Title"/>
    <w:basedOn w:val="a"/>
    <w:next w:val="a"/>
    <w:link w:val="a4"/>
    <w:uiPriority w:val="10"/>
    <w:qFormat/>
    <w:rsid w:val="00DD184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DD18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D184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DD184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D1846"/>
    <w:pPr>
      <w:spacing w:before="160" w:after="160"/>
      <w:jc w:val="center"/>
    </w:pPr>
    <w:rPr>
      <w:i/>
      <w:iCs/>
      <w:color w:val="404040" w:themeColor="text1" w:themeTint="BF"/>
    </w:rPr>
  </w:style>
  <w:style w:type="character" w:customStyle="1" w:styleId="a8">
    <w:name w:val="引文 字元"/>
    <w:basedOn w:val="a0"/>
    <w:link w:val="a7"/>
    <w:uiPriority w:val="29"/>
    <w:rsid w:val="00DD1846"/>
    <w:rPr>
      <w:i/>
      <w:iCs/>
      <w:color w:val="404040" w:themeColor="text1" w:themeTint="BF"/>
    </w:rPr>
  </w:style>
  <w:style w:type="paragraph" w:styleId="a9">
    <w:name w:val="List Paragraph"/>
    <w:basedOn w:val="a"/>
    <w:uiPriority w:val="34"/>
    <w:qFormat/>
    <w:rsid w:val="00DD1846"/>
    <w:pPr>
      <w:ind w:left="720"/>
      <w:contextualSpacing/>
    </w:pPr>
  </w:style>
  <w:style w:type="character" w:styleId="aa">
    <w:name w:val="Intense Emphasis"/>
    <w:basedOn w:val="a0"/>
    <w:uiPriority w:val="21"/>
    <w:qFormat/>
    <w:rsid w:val="00DD1846"/>
    <w:rPr>
      <w:i/>
      <w:iCs/>
      <w:color w:val="2F5496" w:themeColor="accent1" w:themeShade="BF"/>
    </w:rPr>
  </w:style>
  <w:style w:type="paragraph" w:styleId="ab">
    <w:name w:val="Intense Quote"/>
    <w:basedOn w:val="a"/>
    <w:next w:val="a"/>
    <w:link w:val="ac"/>
    <w:uiPriority w:val="30"/>
    <w:qFormat/>
    <w:rsid w:val="00DD18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DD1846"/>
    <w:rPr>
      <w:i/>
      <w:iCs/>
      <w:color w:val="2F5496" w:themeColor="accent1" w:themeShade="BF"/>
    </w:rPr>
  </w:style>
  <w:style w:type="character" w:styleId="ad">
    <w:name w:val="Intense Reference"/>
    <w:basedOn w:val="a0"/>
    <w:uiPriority w:val="32"/>
    <w:qFormat/>
    <w:rsid w:val="00DD1846"/>
    <w:rPr>
      <w:b/>
      <w:bCs/>
      <w:smallCaps/>
      <w:color w:val="2F5496" w:themeColor="accent1" w:themeShade="BF"/>
      <w:spacing w:val="5"/>
    </w:rPr>
  </w:style>
  <w:style w:type="paragraph" w:styleId="ae">
    <w:name w:val="header"/>
    <w:basedOn w:val="a"/>
    <w:link w:val="af"/>
    <w:uiPriority w:val="99"/>
    <w:unhideWhenUsed/>
    <w:rsid w:val="00771571"/>
    <w:pPr>
      <w:tabs>
        <w:tab w:val="center" w:pos="4153"/>
        <w:tab w:val="right" w:pos="8306"/>
      </w:tabs>
      <w:snapToGrid w:val="0"/>
    </w:pPr>
    <w:rPr>
      <w:sz w:val="20"/>
      <w:szCs w:val="20"/>
    </w:rPr>
  </w:style>
  <w:style w:type="character" w:customStyle="1" w:styleId="af">
    <w:name w:val="頁首 字元"/>
    <w:basedOn w:val="a0"/>
    <w:link w:val="ae"/>
    <w:uiPriority w:val="99"/>
    <w:rsid w:val="00771571"/>
    <w:rPr>
      <w:sz w:val="20"/>
      <w:szCs w:val="20"/>
    </w:rPr>
  </w:style>
  <w:style w:type="paragraph" w:styleId="af0">
    <w:name w:val="footer"/>
    <w:basedOn w:val="a"/>
    <w:link w:val="af1"/>
    <w:uiPriority w:val="99"/>
    <w:unhideWhenUsed/>
    <w:rsid w:val="00771571"/>
    <w:pPr>
      <w:tabs>
        <w:tab w:val="center" w:pos="4153"/>
        <w:tab w:val="right" w:pos="8306"/>
      </w:tabs>
      <w:snapToGrid w:val="0"/>
    </w:pPr>
    <w:rPr>
      <w:sz w:val="20"/>
      <w:szCs w:val="20"/>
    </w:rPr>
  </w:style>
  <w:style w:type="character" w:customStyle="1" w:styleId="af1">
    <w:name w:val="頁尾 字元"/>
    <w:basedOn w:val="a0"/>
    <w:link w:val="af0"/>
    <w:uiPriority w:val="99"/>
    <w:rsid w:val="00771571"/>
    <w:rPr>
      <w:sz w:val="20"/>
      <w:szCs w:val="20"/>
    </w:rPr>
  </w:style>
  <w:style w:type="paragraph" w:styleId="af2">
    <w:name w:val="footnote text"/>
    <w:basedOn w:val="a"/>
    <w:link w:val="af3"/>
    <w:uiPriority w:val="99"/>
    <w:semiHidden/>
    <w:unhideWhenUsed/>
    <w:rsid w:val="0017176F"/>
    <w:pPr>
      <w:snapToGrid w:val="0"/>
    </w:pPr>
    <w:rPr>
      <w:sz w:val="20"/>
      <w:szCs w:val="20"/>
    </w:rPr>
  </w:style>
  <w:style w:type="character" w:customStyle="1" w:styleId="af3">
    <w:name w:val="註腳文字 字元"/>
    <w:basedOn w:val="a0"/>
    <w:link w:val="af2"/>
    <w:uiPriority w:val="99"/>
    <w:semiHidden/>
    <w:rsid w:val="0017176F"/>
    <w:rPr>
      <w:sz w:val="20"/>
      <w:szCs w:val="20"/>
    </w:rPr>
  </w:style>
  <w:style w:type="character" w:styleId="af4">
    <w:name w:val="footnote reference"/>
    <w:basedOn w:val="a0"/>
    <w:uiPriority w:val="99"/>
    <w:semiHidden/>
    <w:unhideWhenUsed/>
    <w:rsid w:val="001717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4E1F8-1DB9-4C7F-97CC-DF1C737C8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2126</Characters>
  <Application>Microsoft Office Word</Application>
  <DocSecurity>0</DocSecurity>
  <Lines>17</Lines>
  <Paragraphs>4</Paragraphs>
  <ScaleCrop>false</ScaleCrop>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晶 王</dc:creator>
  <cp:keywords/>
  <dc:description/>
  <cp:lastModifiedBy>千琇 翁</cp:lastModifiedBy>
  <cp:revision>2</cp:revision>
  <dcterms:created xsi:type="dcterms:W3CDTF">2026-02-02T06:37:00Z</dcterms:created>
  <dcterms:modified xsi:type="dcterms:W3CDTF">2026-02-02T06:37:00Z</dcterms:modified>
</cp:coreProperties>
</file>